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default" w:ascii="Times New Roman" w:hAnsi="Times New Roman" w:eastAsia="黑体" w:cs="Times New Roman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default" w:ascii="Times New Roman" w:hAnsi="Times New Roman" w:eastAsia="黑体" w:cs="Times New Roman"/>
          <w:b/>
          <w:bCs/>
          <w:color w:val="000000"/>
          <w:kern w:val="0"/>
          <w:sz w:val="31"/>
          <w:szCs w:val="31"/>
          <w:lang w:bidi="ar"/>
        </w:rPr>
        <w:t>《XX》课程教学大纲</w:t>
      </w:r>
      <w:r>
        <w:rPr>
          <w:rFonts w:hint="default" w:ascii="Times New Roman" w:hAnsi="Times New Roman" w:eastAsia="黑体" w:cs="Times New Roman"/>
          <w:b/>
          <w:bCs/>
          <w:color w:val="FF0000"/>
          <w:kern w:val="0"/>
          <w:sz w:val="31"/>
          <w:szCs w:val="31"/>
          <w:lang w:bidi="ar"/>
        </w:rPr>
        <w:t>（模板）</w:t>
      </w:r>
    </w:p>
    <w:p>
      <w:pPr>
        <w:widowControl/>
        <w:jc w:val="center"/>
        <w:rPr>
          <w:rFonts w:hint="default" w:ascii="Times New Roman" w:hAnsi="Times New Roman" w:eastAsia="黑体" w:cs="Times New Roman"/>
          <w:b/>
          <w:bCs/>
          <w:color w:val="FF0000"/>
          <w:kern w:val="0"/>
          <w:szCs w:val="21"/>
          <w:lang w:bidi="ar"/>
        </w:rPr>
      </w:pPr>
      <w:r>
        <w:rPr>
          <w:rFonts w:hint="default" w:ascii="Times New Roman" w:hAnsi="Times New Roman" w:eastAsia="黑体" w:cs="Times New Roman"/>
          <w:b/>
          <w:bCs/>
          <w:color w:val="FF0000"/>
          <w:kern w:val="0"/>
          <w:szCs w:val="21"/>
          <w:lang w:bidi="ar"/>
        </w:rPr>
        <w:t>（填写</w:t>
      </w:r>
      <w:r>
        <w:rPr>
          <w:rFonts w:hint="eastAsia" w:ascii="Times New Roman" w:hAnsi="Times New Roman" w:eastAsia="黑体" w:cs="Times New Roman"/>
          <w:b/>
          <w:bCs/>
          <w:color w:val="FF0000"/>
          <w:kern w:val="0"/>
          <w:szCs w:val="21"/>
          <w:lang w:val="en-US" w:eastAsia="zh-CN" w:bidi="ar"/>
        </w:rPr>
        <w:t>前</w:t>
      </w:r>
      <w:r>
        <w:rPr>
          <w:rFonts w:hint="default" w:ascii="Times New Roman" w:hAnsi="Times New Roman" w:eastAsia="黑体" w:cs="Times New Roman"/>
          <w:b/>
          <w:bCs/>
          <w:color w:val="FF0000"/>
          <w:kern w:val="0"/>
          <w:szCs w:val="21"/>
          <w:lang w:bidi="ar"/>
        </w:rPr>
        <w:t>请</w:t>
      </w:r>
      <w:r>
        <w:rPr>
          <w:rFonts w:hint="eastAsia" w:ascii="Times New Roman" w:hAnsi="Times New Roman" w:eastAsia="黑体" w:cs="Times New Roman"/>
          <w:b/>
          <w:bCs/>
          <w:color w:val="FF0000"/>
          <w:kern w:val="0"/>
          <w:szCs w:val="21"/>
          <w:lang w:val="en-US" w:eastAsia="zh-CN" w:bidi="ar"/>
        </w:rPr>
        <w:t>先阅读</w:t>
      </w:r>
      <w:r>
        <w:rPr>
          <w:rFonts w:hint="default" w:ascii="Times New Roman" w:hAnsi="Times New Roman" w:eastAsia="黑体" w:cs="Times New Roman"/>
          <w:b/>
          <w:bCs/>
          <w:color w:val="FF0000"/>
          <w:kern w:val="0"/>
          <w:szCs w:val="21"/>
          <w:lang w:bidi="ar"/>
        </w:rPr>
        <w:t>附注</w:t>
      </w:r>
      <w:r>
        <w:rPr>
          <w:rFonts w:hint="eastAsia" w:ascii="Times New Roman" w:hAnsi="Times New Roman" w:eastAsia="黑体" w:cs="Times New Roman"/>
          <w:b/>
          <w:bCs/>
          <w:color w:val="FF0000"/>
          <w:kern w:val="0"/>
          <w:szCs w:val="21"/>
          <w:lang w:eastAsia="zh-CN" w:bidi="ar"/>
        </w:rPr>
        <w:t>，提交前请删去文档中红色提示性内容、蓝色示例和附注。</w:t>
      </w:r>
      <w:r>
        <w:rPr>
          <w:rFonts w:hint="default" w:ascii="Times New Roman" w:hAnsi="Times New Roman" w:eastAsia="黑体" w:cs="Times New Roman"/>
          <w:b/>
          <w:bCs/>
          <w:color w:val="FF0000"/>
          <w:kern w:val="0"/>
          <w:szCs w:val="21"/>
          <w:lang w:bidi="ar"/>
        </w:rPr>
        <w:t>）</w:t>
      </w: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rPr>
          <w:trHeight w:val="454" w:hRule="atLeast"/>
        </w:trPr>
        <w:tc>
          <w:tcPr>
            <w:tcW w:w="9195" w:type="dxa"/>
            <w:shd w:val="clear" w:color="auto" w:fill="E7E6E6" w:themeFill="background2"/>
            <w:noWrap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left="420" w:hanging="420"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课程基本信息（Course Information）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6"/>
        <w:gridCol w:w="2611"/>
        <w:gridCol w:w="2603"/>
        <w:gridCol w:w="1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开课学院（School）</w:t>
            </w:r>
          </w:p>
        </w:tc>
        <w:tc>
          <w:tcPr>
            <w:tcW w:w="2611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bidi="ar"/>
              </w:rPr>
              <w:t>经济学院</w:t>
            </w:r>
          </w:p>
        </w:tc>
        <w:tc>
          <w:tcPr>
            <w:tcW w:w="2603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课程代码（Course Code）</w:t>
            </w:r>
          </w:p>
        </w:tc>
        <w:tc>
          <w:tcPr>
            <w:tcW w:w="1675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vMerge w:val="restart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课程名称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（Course Name）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bidi="ar"/>
              </w:rPr>
              <w:t>微观经济学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vMerge w:val="continue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bidi="ar"/>
              </w:rPr>
              <w:t>Microeconomics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学分（Credits）</w:t>
            </w:r>
          </w:p>
        </w:tc>
        <w:tc>
          <w:tcPr>
            <w:tcW w:w="2611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bidi="ar"/>
              </w:rPr>
              <w:t>3</w:t>
            </w:r>
          </w:p>
        </w:tc>
        <w:tc>
          <w:tcPr>
            <w:tcW w:w="2603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学时（Credit Hours）</w:t>
            </w:r>
          </w:p>
        </w:tc>
        <w:tc>
          <w:tcPr>
            <w:tcW w:w="1675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学时分配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理论教学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u w:val="single"/>
                <w:lang w:bidi="ar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学时；实验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u w:val="single"/>
                <w:lang w:bidi="ar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学时；实践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u w:val="single"/>
                <w:lang w:bidi="ar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学时；线上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u w:val="single"/>
                <w:lang w:bidi="ar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学时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授课对象（Audience）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  <w:t>XX专业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授课语言(Language)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sz w:val="22"/>
                <w:szCs w:val="28"/>
                <w:lang w:val="en-US" w:eastAsia="zh-CN" w:bidi="ar"/>
              </w:rPr>
              <w:t>全汉语/全英语/双语/外语课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06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先修课程</w:t>
            </w:r>
          </w:p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（Prerequisite）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bidi="ar"/>
              </w:rPr>
              <w:t>微积分或高等数学或数学分析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授课教师（Instructor）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06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课程网址</w:t>
            </w:r>
          </w:p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bidi="ar"/>
              </w:rPr>
              <w:t>（Course Webpage）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val="en-US" w:eastAsia="zh-CN" w:bidi="ar"/>
              </w:rPr>
              <w:t>课程类型（Type）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Cs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sz w:val="22"/>
                <w:szCs w:val="28"/>
                <w:lang w:val="en-US" w:eastAsia="zh-CN" w:bidi="ar"/>
              </w:rPr>
              <w:t>理论课/术科课/独立设置实验课/线上线下混合课/社会实践课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06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8"/>
                <w:lang w:val="en-US" w:eastAsia="zh-CN" w:bidi="ar"/>
              </w:rPr>
              <w:t>课程归属（Category）</w:t>
            </w:r>
          </w:p>
        </w:tc>
        <w:tc>
          <w:tcPr>
            <w:tcW w:w="6889" w:type="dxa"/>
            <w:gridSpan w:val="3"/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70C0"/>
                <w:kern w:val="0"/>
                <w:sz w:val="22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sz w:val="22"/>
                <w:szCs w:val="28"/>
                <w:lang w:val="en-US" w:eastAsia="zh-CN" w:bidi="ar"/>
              </w:rPr>
              <w:t>专业教育-经济与计量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课程简介（Description）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rPr>
          <w:trHeight w:val="2429" w:hRule="atLeast"/>
        </w:trPr>
        <w:tc>
          <w:tcPr>
            <w:tcW w:w="9195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</w:tcPr>
          <w:p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（对课程概况描述，包括课程在培养方案中的地位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课程设置的目的与意义，课程的知识领域与主要内容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eastAsia="zh-CN" w:bidi="ar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val="en-US" w:eastAsia="zh-CN" w:bidi="ar"/>
              </w:rPr>
              <w:t>300字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）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i w:val="0"/>
                <w:iCs w:val="0"/>
                <w:color w:val="0070C0"/>
                <w:kern w:val="0"/>
                <w:sz w:val="21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70C0"/>
                <w:kern w:val="0"/>
                <w:sz w:val="21"/>
                <w:szCs w:val="24"/>
                <w:lang w:val="en-US" w:eastAsia="zh-CN" w:bidi="ar"/>
              </w:rPr>
              <w:t>参考示例：计算概论，又可称为计算机科学导论、计算思维导论、计算思维与计算系统导论等，是计算机类专业的一门纲领性课程，是面向大学一年级学生开设的第一门专业核心课程。它强调培养学生的科学与工程思维——计算思维，从思维层面理解完整的计算系统，培养学生的系统观、大思维观。本课程既不是计算机基础知识与相关术语的堆积，也不是各门核心课程绪论的堆积，更不是简单的计算机语言程序设计，而是强调将学生领进计算之门的“导”。课程不仅聚焦问题求解思维（程序思维与算法思维），还包含互联网+ 思维、大数据思维和人工智能+ 思维等，强调计算思维对学生未来创新思维的促进作用，强调提升学生基于计算系统理解真实世界的能力。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</w:trPr>
        <w:tc>
          <w:tcPr>
            <w:tcW w:w="9195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</w:tcPr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lang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  <w:t>课程简介英文版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lang w:eastAsia="zh-CN" w:bidi="ar"/>
              </w:rPr>
              <w:t>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noWrap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课程目标（Course Objectives）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3" w:hRule="atLeast"/>
        </w:trPr>
        <w:tc>
          <w:tcPr>
            <w:tcW w:w="9195" w:type="dxa"/>
            <w:shd w:val="clear" w:color="auto" w:fill="auto"/>
          </w:tcPr>
          <w:p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（通过本课程的学习，学生应达到的目标，包括知识、能力、素质等，通过了解、掌握、应用、分析等动词具体描述说明层次和程度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eastAsia="zh-CN" w:bidi="ar"/>
              </w:rPr>
              <w:t>。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val="en-US" w:eastAsia="zh-CN" w:bidi="ar"/>
              </w:rPr>
              <w:t>课程目标中需包括课程思政目标，可</w:t>
            </w:r>
            <w:r>
              <w:rPr>
                <w:rFonts w:hint="default" w:ascii="Times New Roman" w:hAnsi="Times New Roman" w:cs="Times New Roman"/>
                <w:color w:val="C00000"/>
              </w:rPr>
              <w:t>参照教育部《高等学校课程思政建设指导纲要》填写</w:t>
            </w:r>
            <w:r>
              <w:rPr>
                <w:rFonts w:hint="eastAsia" w:ascii="Times New Roman" w:hAnsi="Times New Roman" w:cs="Times New Roman"/>
                <w:color w:val="C00000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color w:val="C00000"/>
                <w:lang w:val="en-US" w:eastAsia="zh-CN"/>
              </w:rPr>
              <w:t>300字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）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参考示例：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培养学生的科学与工程思维——计算思维（包括计算+ 思维、互联网+ 思维、大数据思维和人工智能+思维），促进学生从思维层面深入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理解计算与计算机的本质，理解计算系统的构成与特征，理解问题求解与算法思维，理解数据处理、机器网络、机器智能的本质，理解大数据计算、互联网思维、人工智能对社会发展的影响和促进作用，理解计算学科的研究对象、研究方法及核心课程体系，为学生今后深入学习设计、构造和应用各种计算系统求解学科问题奠定思维基础。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noWrap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设计（Course Design）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3" w:hRule="atLeast"/>
        </w:trPr>
        <w:tc>
          <w:tcPr>
            <w:tcW w:w="9195" w:type="dxa"/>
            <w:shd w:val="clear" w:color="auto" w:fill="auto"/>
          </w:tcPr>
          <w:p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（介绍课程设计思路、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val="en-US" w:eastAsia="zh-CN" w:bidi="ar"/>
              </w:rPr>
              <w:t>主要的教学方式方法、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课程知识模块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val="en-US" w:eastAsia="zh-CN" w:bidi="ar"/>
              </w:rPr>
              <w:t>等内容，300-500字</w:t>
            </w: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）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参考示例：</w:t>
            </w:r>
          </w:p>
          <w:p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课程强调从思维层面理解完整的计算系统，进而理解计算学科对社会发展的促进作用。课程从“计算”开始，讲解计算与计算机的本质——“符号化—计算化—自动化思维”、编码与存储思维、程序与递归思维；进一步讲解“机器自动计算”的系统思维，理解程序是如何被机器自动执行的，理解通用计算系统由硬件到软件、由单机系统到并行分布系统再到云计算系统的演化；然后讲解利用计算手段求解社会/自然问题的算法思维，强调算法思维的本质包括枚举、计算、验证和优化等特征，精确解算法的优化思路是减少无效计算量，而难解性问题求解算法的优化思路是求近似解以降低枚举空间；在此基础上，进一步讲解计算与社会的融合思维，理解机器网络、信息网络和网络化社会的形成机理、计算模式与社会影响（互联网+ 思维），理解数据管理与数据处理的基本手段，理解数据库和大数据的计算模式与社会影响（大数据思维），理解机器如何具有学习能力的思维模式，了</w:t>
            </w: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解人工智能的技术发展（人工智能+ 思维），理解软件思维与安全思维，理解计算机类学科的研究对象与研究方法及核心课程体系，从而为学生今后深入学习设计、构造和应用各种计算系统求解学科问题奠定思维基础。</w:t>
            </w:r>
          </w:p>
          <w:p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本课程包含7个知识模块</w:t>
            </w: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C00000"/>
                <w:kern w:val="0"/>
                <w:lang w:val="en-US" w:eastAsia="zh-CN" w:bidi="ar"/>
              </w:rPr>
              <w:t>（课程知识模块关系图例请老师根据各模块内容关系自行制作，附注中提供了几个图例参考）</w:t>
            </w: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ind w:firstLine="420" w:firstLineChars="200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</w:pPr>
            <w:r>
              <w:drawing>
                <wp:inline distT="0" distB="0" distL="114300" distR="114300">
                  <wp:extent cx="5697220" cy="3750310"/>
                  <wp:effectExtent l="0" t="0" r="17780" b="254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220" cy="375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/>
                <w:lang w:val="en-US" w:eastAsia="zh-CN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教学内容、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学时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安排及要求（Class Schedule &amp; Requirements）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6" w:type="dxa"/>
        <w:tblInd w:w="91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586"/>
        <w:gridCol w:w="1275"/>
        <w:gridCol w:w="2940"/>
        <w:gridCol w:w="3075"/>
        <w:gridCol w:w="645"/>
        <w:gridCol w:w="675"/>
      </w:tblGrid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83" w:hRule="atLeast"/>
        </w:trPr>
        <w:tc>
          <w:tcPr>
            <w:tcW w:w="919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val="en-US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val="en-US" w:eastAsia="zh-CN" w:bidi="ar"/>
              </w:rPr>
              <w:t>模块一：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70C0"/>
                <w:kern w:val="0"/>
                <w:lang w:val="en-US" w:eastAsia="zh-CN" w:bidi="ar"/>
              </w:rPr>
              <w:t xml:space="preserve">计算与计算思维（Computing and Computational Thinking） 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40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知识点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主要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内容（注明重点、难点）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能力目标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参考学时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教学方式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计算与自动计算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多种形态的计算机；硬件与软件；计算机的发展；什么是计算，怎样自动计算，自动计算基本要素；自动计算的探索历程与科学家精神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了解计算机的不同形态及基本组成（A）；理解自动计算的基本要素（A）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70C0"/>
                <w:kern w:val="0"/>
                <w:sz w:val="21"/>
                <w:szCs w:val="21"/>
                <w:lang w:val="en-US" w:eastAsia="zh-CN" w:bidi="ar"/>
              </w:rPr>
              <w:t>课堂教学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计算机模型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图灵计算机模型；冯·诺依曼计算机模型；非冯·诺依曼计算机模型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从研究角度理解自动计算，能够运用图灵机模型构造一个计算（B）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70C0"/>
                <w:kern w:val="0"/>
                <w:sz w:val="21"/>
                <w:szCs w:val="21"/>
                <w:lang w:val="en-US" w:eastAsia="zh-CN" w:bidi="ar"/>
              </w:rPr>
              <w:t>课堂教学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  <w:t>计算与社会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计算的发展，计算与各学科，基于计算的创新典型示例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理解计算对各学科创新的影响（A）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/>
                <w:color w:val="0070C0"/>
                <w:kern w:val="0"/>
                <w:sz w:val="21"/>
                <w:szCs w:val="21"/>
                <w:lang w:val="en-US" w:eastAsia="zh-CN" w:bidi="ar"/>
              </w:rPr>
              <w:t>课堂教学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计算思维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什么是计算思维；计算思维的作用；二分法与二进制；编码；符号变换思维；过程化思维；典型的计算思维包括哪些；十六进制；进位制及转换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能够理解计算思维的概念和作用（A）；能够理解二分法和通过编码并行使用二分法的思维（A）；掌握二—十—十六进制表示方法并能够相互转换（A）；概要了解计算思维教育空间（B）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70C0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70C0"/>
                <w:kern w:val="0"/>
                <w:sz w:val="21"/>
                <w:szCs w:val="21"/>
                <w:lang w:val="en-US" w:eastAsia="zh-CN" w:bidi="ar"/>
              </w:rPr>
              <w:t>课堂教学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83" w:hRule="atLeast"/>
        </w:trPr>
        <w:tc>
          <w:tcPr>
            <w:tcW w:w="919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val="en-US" w:eastAsia="zh-CN" w:bidi="ar"/>
              </w:rPr>
              <w:t>模块二：XXX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知识点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主要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内容（注明重点、难点）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能力目标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参考学时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教学方式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  <w:t>2.1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  <w:t>XXX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  <w:t>2.2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  <w:t>……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eastAsia="zh-CN" w:bidi="ar"/>
              </w:rPr>
            </w:pP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83" w:hRule="atLeast"/>
        </w:trPr>
        <w:tc>
          <w:tcPr>
            <w:tcW w:w="919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val="en-US" w:eastAsia="zh-CN" w:bidi="ar"/>
              </w:rPr>
              <w:t>模块三：XXX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知识点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主要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内容（注明重点、难点）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能力目标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参考学时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教学方式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  <w:t>3.1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lang w:eastAsia="zh-CN" w:bidi="ar"/>
              </w:rPr>
              <w:t>……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37" w:hRule="atLeast"/>
        </w:trPr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</w:tbl>
    <w:p>
      <w:pP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>注：</w:t>
      </w:r>
      <w:r>
        <w:rPr>
          <w:rFonts w:hint="default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>能力目标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分为</w:t>
      </w:r>
      <w:r>
        <w:rPr>
          <w:rFonts w:hint="eastAsia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ABC</w:t>
      </w:r>
      <w:r>
        <w:rPr>
          <w:rFonts w:hint="eastAsia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三级，其中 A 表示基础和核心能力（必修），B</w:t>
      </w:r>
      <w:r>
        <w:rPr>
          <w:rFonts w:hint="eastAsia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表示高级和综合能力（限选），C</w:t>
      </w:r>
      <w:r>
        <w:rPr>
          <w:rFonts w:hint="eastAsia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表示扩展和前沿能力（选修）。一个知识点可包含至少2个能力目</w:t>
      </w:r>
      <w:r>
        <w:rPr>
          <w:rFonts w:hint="default" w:ascii="Times New Roman" w:hAnsi="Times New Roman" w:cs="Times New Roman"/>
          <w:bCs/>
          <w:color w:val="auto"/>
          <w:kern w:val="0"/>
          <w:sz w:val="21"/>
          <w:szCs w:val="21"/>
          <w:lang w:val="en-US" w:eastAsia="zh-CN" w:bidi="ar"/>
        </w:rPr>
        <w:t>标，</w:t>
      </w:r>
      <w:r>
        <w:rPr>
          <w:rFonts w:hint="default" w:ascii="Times New Roman" w:hAnsi="Times New Roman" w:cs="Times New Roman" w:eastAsiaTheme="minorEastAsia"/>
          <w:bCs/>
          <w:color w:val="auto"/>
          <w:kern w:val="0"/>
          <w:sz w:val="21"/>
          <w:szCs w:val="21"/>
          <w:lang w:bidi="ar"/>
        </w:rPr>
        <w:t>但不超过10个能力目标。</w:t>
      </w: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课程实验项目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C00000"/>
                <w:kern w:val="0"/>
                <w:sz w:val="24"/>
                <w:szCs w:val="32"/>
                <w:lang w:bidi="ar"/>
              </w:rPr>
              <w:t>（如无实验项目可删除该项）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656"/>
        <w:gridCol w:w="3556"/>
        <w:gridCol w:w="645"/>
        <w:gridCol w:w="1199"/>
        <w:gridCol w:w="3139"/>
      </w:tblGrid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编号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实验项目名称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学时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类型</w:t>
            </w: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目标要求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1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2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……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课程实践项目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C00000"/>
                <w:kern w:val="0"/>
                <w:sz w:val="24"/>
                <w:szCs w:val="32"/>
                <w:lang w:bidi="ar"/>
              </w:rPr>
              <w:t>（如无实践项目可删除该项）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656"/>
        <w:gridCol w:w="3556"/>
        <w:gridCol w:w="645"/>
        <w:gridCol w:w="1199"/>
        <w:gridCol w:w="3139"/>
      </w:tblGrid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编号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实践项目名称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学时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  <w:t>场所</w:t>
            </w: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Cs w:val="21"/>
              </w:rPr>
              <w:t>目标要求</w:t>
            </w: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1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2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  <w:tr>
        <w:tblPrEx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454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……</w:t>
            </w:r>
          </w:p>
        </w:tc>
        <w:tc>
          <w:tcPr>
            <w:tcW w:w="3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  <w:tc>
          <w:tcPr>
            <w:tcW w:w="3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lang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考核方式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Grading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eastAsia="zh-CN" w:bidi="ar"/>
              </w:rPr>
              <w:t>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6" w:hRule="atLeast"/>
        </w:trPr>
        <w:tc>
          <w:tcPr>
            <w:tcW w:w="9195" w:type="dxa"/>
            <w:shd w:val="clear" w:color="auto" w:fill="auto"/>
          </w:tcPr>
          <w:p>
            <w:pPr>
              <w:widowControl/>
              <w:tabs>
                <w:tab w:val="left" w:pos="312"/>
              </w:tabs>
              <w:jc w:val="left"/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lang w:bidi="ar"/>
              </w:rPr>
              <w:t>（考核与评价内容、方法、成绩比例的简要说明；课程目标达成考核与评价方式及成绩评定）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left"/>
              <w:textAlignment w:val="auto"/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70C0"/>
                <w:kern w:val="0"/>
                <w:lang w:val="en-US" w:eastAsia="zh-CN" w:bidi="ar"/>
              </w:rPr>
              <w:t>参考示例：</w:t>
            </w:r>
          </w:p>
          <w:p>
            <w:pPr>
              <w:pStyle w:val="16"/>
              <w:ind w:firstLine="420"/>
              <w:rPr>
                <w:color w:val="0070C0"/>
              </w:rPr>
            </w:pPr>
            <w:r>
              <w:rPr>
                <w:color w:val="0070C0"/>
              </w:rPr>
              <w:t>考核环节包括平时成绩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C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、案例分析与报告成绩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C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、期末考试成绩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C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部分组成，各个环节成绩满分均为100分，成绩分项比例分别为0.1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w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)、0.2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w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)、0.7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w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)，则总评成绩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70C0"/>
                    </w:rPr>
                    <m:t>C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70C0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ub>
              </m:sSub>
            </m:oMath>
            <w:r>
              <w:rPr>
                <w:color w:val="0070C0"/>
              </w:rPr>
              <w:t>计算方法如下：</w:t>
            </w:r>
          </w:p>
          <w:p>
            <w:pPr>
              <w:pStyle w:val="5"/>
              <w:spacing w:before="0" w:beforeAutospacing="0" w:after="0" w:afterAutospacing="0" w:line="312" w:lineRule="auto"/>
              <w:jc w:val="center"/>
              <w:rPr>
                <w:rFonts w:ascii="Times New Roman" w:hAnsi="Times New Roman" w:cs="Times New Roman"/>
                <w:color w:val="0070C0"/>
                <w:sz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C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0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color w:val="0070C0"/>
                    <w:sz w:val="21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color w:val="0070C0"/>
                            <w:sz w:val="21"/>
                          </w:rPr>
                          <m:t>w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color w:val="0070C0"/>
                            <w:sz w:val="21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sub>
                    </m:s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C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color w:val="0070C0"/>
                    <w:sz w:val="21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color w:val="0070C0"/>
                            <w:sz w:val="21"/>
                          </w:rPr>
                          <m:t>w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color w:val="0070C0"/>
                            <w:sz w:val="21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1"/>
                          </w:rPr>
                        </m:ctrlPr>
                      </m:sub>
                    </m:s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C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color w:val="0070C0"/>
                    <w:sz w:val="21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w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C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color w:val="0070C0"/>
                        <w:sz w:val="21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1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color w:val="0070C0"/>
                    <w:sz w:val="21"/>
                  </w:rPr>
                  <m:t xml:space="preserve"> </m:t>
                </m:r>
              </m:oMath>
            </m:oMathPara>
          </w:p>
          <w:p>
            <w:pPr>
              <w:pStyle w:val="5"/>
              <w:wordWrap/>
              <w:spacing w:before="0" w:beforeAutospacing="0" w:after="0" w:afterAutospacing="0" w:line="312" w:lineRule="auto"/>
              <w:jc w:val="right"/>
              <w:rPr>
                <w:rFonts w:ascii="Times New Roman" w:hAnsi="Times New Roman" w:cs="Times New Roman"/>
                <w:color w:val="0070C0"/>
                <w:sz w:val="21"/>
              </w:rPr>
            </w:pPr>
          </w:p>
          <w:tbl>
            <w:tblPr>
              <w:tblStyle w:val="7"/>
              <w:tblW w:w="4997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95"/>
              <w:gridCol w:w="1080"/>
              <w:gridCol w:w="608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01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  <w:t>考核形式</w:t>
                  </w:r>
                </w:p>
              </w:tc>
              <w:tc>
                <w:tcPr>
                  <w:tcW w:w="602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  <w:t>分值</w:t>
                  </w:r>
                </w:p>
              </w:tc>
              <w:tc>
                <w:tcPr>
                  <w:tcW w:w="3396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b/>
                      <w:color w:val="0070C0"/>
                      <w:szCs w:val="21"/>
                    </w:rPr>
                    <w:t>评分依据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01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平时成绩</w:t>
                  </w:r>
                </w:p>
              </w:tc>
              <w:tc>
                <w:tcPr>
                  <w:tcW w:w="602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10%</w:t>
                  </w:r>
                </w:p>
              </w:tc>
              <w:tc>
                <w:tcPr>
                  <w:tcW w:w="3396" w:type="pct"/>
                  <w:vAlign w:val="center"/>
                </w:tcPr>
                <w:p>
                  <w:p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（1）学生考勤情况；</w:t>
                  </w:r>
                </w:p>
                <w:p>
                  <w:p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（2）课堂互动和表现。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01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案例分析与报告</w:t>
                  </w:r>
                </w:p>
              </w:tc>
              <w:tc>
                <w:tcPr>
                  <w:tcW w:w="602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20%</w:t>
                  </w:r>
                </w:p>
              </w:tc>
              <w:tc>
                <w:tcPr>
                  <w:tcW w:w="3396" w:type="pct"/>
                  <w:vAlign w:val="center"/>
                </w:tcPr>
                <w:p>
                  <w:pPr>
                    <w:numPr>
                      <w:ilvl w:val="0"/>
                      <w:numId w:val="2"/>
                    </w:num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案例选题；</w:t>
                  </w:r>
                </w:p>
                <w:p>
                  <w:pPr>
                    <w:numPr>
                      <w:ilvl w:val="0"/>
                      <w:numId w:val="2"/>
                    </w:num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案例内容；</w:t>
                  </w:r>
                </w:p>
                <w:p>
                  <w:p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（3）案例报告。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01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期末考试</w:t>
                  </w:r>
                </w:p>
              </w:tc>
              <w:tc>
                <w:tcPr>
                  <w:tcW w:w="602" w:type="pct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70%</w:t>
                  </w:r>
                </w:p>
              </w:tc>
              <w:tc>
                <w:tcPr>
                  <w:tcW w:w="3396" w:type="pct"/>
                  <w:vAlign w:val="center"/>
                </w:tcPr>
                <w:p>
                  <w:p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（1）卷面成绩100分，以卷面成绩乘以其在总评成绩中所占的比例计入课程总评成绩；</w:t>
                  </w:r>
                </w:p>
                <w:p>
                  <w:pPr>
                    <w:jc w:val="both"/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</w:pPr>
                  <w:r>
                    <w:rPr>
                      <w:rFonts w:hint="default" w:ascii="Times New Roman" w:hAnsi="Times New Roman" w:cs="Times New Roman" w:eastAsiaTheme="minorEastAsia"/>
                      <w:color w:val="0070C0"/>
                      <w:szCs w:val="21"/>
                    </w:rPr>
                    <w:t>（2）主要考核各章节讲述的要点内容。</w:t>
                  </w:r>
                </w:p>
              </w:tc>
            </w:tr>
          </w:tbl>
          <w:p/>
          <w:p>
            <w:pPr>
              <w:keepNext w:val="0"/>
              <w:keepLines w:val="0"/>
              <w:pageBreakBefore w:val="0"/>
              <w:widowControl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Times New Roman" w:hAnsi="Times New Roman" w:eastAsia="宋体" w:cs="Times New Roman"/>
                <w:color w:val="000000"/>
                <w:kern w:val="0"/>
                <w:lang w:val="en-US" w:eastAsia="zh-CN"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推荐教材和参考资料（Recommended Textbooks &amp; Other Materials）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9195" w:type="dxa"/>
            <w:shd w:val="clear" w:color="auto" w:fill="auto"/>
          </w:tcPr>
          <w:p>
            <w:pPr>
              <w:widowControl/>
              <w:tabs>
                <w:tab w:val="left" w:pos="312"/>
              </w:tabs>
              <w:rPr>
                <w:rFonts w:hint="eastAsia" w:ascii="Times New Roman" w:hAnsi="Times New Roman" w:eastAsia="宋体" w:cs="Times New Roman"/>
                <w:bCs/>
                <w:color w:val="C00000"/>
                <w:kern w:val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bidi="ar"/>
              </w:rPr>
              <w:t>（教材必含信息：教材名称，作者，出版社，出版年份，版次，书号）</w:t>
            </w:r>
          </w:p>
          <w:p>
            <w:pPr>
              <w:widowControl/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参考示例（专著、译著、期刊、规范性文件等的格式）：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sz w:val="21"/>
                <w:szCs w:val="24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林毅夫：《繁荣的求索:发展中经济如何崛起》，北京大学出版社，2010，第25页。</w:t>
            </w:r>
          </w:p>
          <w:p>
            <w:pPr>
              <w:widowControl/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2.林毅夫、塞勒斯汀：《战胜命运——跨越贫困陷阱，创造奇迹》，张彤晓、顾炎民、薛明译，北京大学出版社，2017，第10页。</w:t>
            </w:r>
          </w:p>
          <w:p>
            <w:pPr>
              <w:widowControl/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3.付才辉：《新结构经济学学科建设初探》，《中国大学教学》2020年第4期，第69-78页。</w:t>
            </w:r>
          </w:p>
          <w:p>
            <w:pPr>
              <w:widowControl/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4.《国务院关于在全国建立农村最低生活保障制度的通知》，国发〔2007〕19 号，2007年7月11日发布。</w:t>
            </w:r>
          </w:p>
          <w:p>
            <w:pPr>
              <w:widowControl/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70C0"/>
                <w:kern w:val="0"/>
                <w:lang w:val="en-US" w:eastAsia="zh-CN" w:bidi="ar"/>
              </w:rPr>
              <w:t>……</w:t>
            </w:r>
          </w:p>
          <w:p>
            <w:pPr>
              <w:widowControl/>
              <w:rPr>
                <w:rFonts w:hint="eastAsia" w:ascii="Times New Roman" w:hAnsi="Times New Roman" w:eastAsia="宋体" w:cs="Times New Roman"/>
                <w:bCs/>
                <w:color w:val="000000"/>
                <w:kern w:val="0"/>
                <w:lang w:val="en-US" w:eastAsia="zh-CN" w:bidi="ar"/>
              </w:rPr>
            </w:pPr>
          </w:p>
          <w:p>
            <w:pPr>
              <w:widowControl/>
              <w:rPr>
                <w:rFonts w:hint="default" w:ascii="Times New Roman" w:hAnsi="Times New Roman" w:eastAsia="宋体" w:cs="Times New Roman"/>
                <w:bCs/>
                <w:color w:val="000000"/>
                <w:kern w:val="0"/>
                <w:lang w:val="en-US" w:eastAsia="zh-CN"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95" w:type="dxa"/>
            <w:shd w:val="clear" w:color="auto" w:fill="E7E6E6" w:themeFill="background2"/>
            <w:vAlign w:val="center"/>
          </w:tcPr>
          <w:p>
            <w:pPr>
              <w:pStyle w:val="13"/>
              <w:widowControl/>
              <w:numPr>
                <w:ilvl w:val="0"/>
                <w:numId w:val="1"/>
              </w:numPr>
              <w:ind w:firstLineChars="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32"/>
                <w:lang w:bidi="ar"/>
              </w:rPr>
              <w:t>备注（Notes）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9195" w:type="dxa"/>
            <w:shd w:val="clear" w:color="auto" w:fill="auto"/>
          </w:tcPr>
          <w:p>
            <w:pPr>
              <w:widowControl/>
              <w:rPr>
                <w:rFonts w:hint="default" w:ascii="Times New Roman" w:hAnsi="Times New Roman" w:eastAsia="宋体" w:cs="Times New Roman"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bidi="ar"/>
              </w:rPr>
              <w:t>（其他</w:t>
            </w: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val="en-US" w:eastAsia="zh-CN" w:bidi="ar"/>
              </w:rPr>
              <w:t>必要的</w:t>
            </w: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bidi="ar"/>
              </w:rPr>
              <w:t>教学要求</w:t>
            </w: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val="en-US" w:eastAsia="zh-CN" w:bidi="ar"/>
              </w:rPr>
              <w:t>和说明</w:t>
            </w:r>
            <w:r>
              <w:rPr>
                <w:rFonts w:hint="default" w:ascii="Times New Roman" w:hAnsi="Times New Roman" w:eastAsia="宋体" w:cs="Times New Roman"/>
                <w:bCs/>
                <w:color w:val="C00000"/>
                <w:kern w:val="0"/>
                <w:lang w:bidi="ar"/>
              </w:rPr>
              <w:t>等）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9195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195" w:type="dxa"/>
            <w:shd w:val="clear" w:color="auto" w:fill="auto"/>
            <w:noWrap/>
            <w:vAlign w:val="center"/>
          </w:tcPr>
          <w:p>
            <w:pPr>
              <w:widowControl/>
              <w:ind w:firstLine="5060" w:firstLineChars="2400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lang w:bidi="ar"/>
              </w:rPr>
              <w:t>修订时间：XXXX年XX月XX日</w:t>
            </w:r>
          </w:p>
        </w:tc>
      </w:tr>
    </w:tbl>
    <w:p>
      <w:pPr>
        <w:widowControl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/>
          <w:bCs/>
          <w:color w:val="000000"/>
          <w:kern w:val="0"/>
          <w:sz w:val="21"/>
          <w:szCs w:val="21"/>
          <w:lang w:bidi="ar"/>
        </w:rPr>
        <w:t>附注：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课程名称应当与培养方案一致。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课程学时分配：</w:t>
      </w: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课堂教学</w:t>
      </w: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学分数=课内总学时/16；集中实践教学环节学分数=实践小时数/40；分散的实验、实践教学环节按时长折算后计算学分，实验教学超过24课时的课程应为独立设置实验课。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授课语言：</w:t>
      </w:r>
      <w:r>
        <w:rPr>
          <w:rFonts w:hint="eastAsia" w:ascii="Times New Roman" w:hAnsi="Times New Roman" w:cs="Times New Roman"/>
          <w:bCs/>
          <w:color w:val="C00000"/>
          <w:kern w:val="0"/>
          <w:sz w:val="21"/>
          <w:szCs w:val="21"/>
          <w:lang w:val="en-US" w:eastAsia="zh-CN" w:bidi="ar"/>
        </w:rPr>
        <w:t>全英语</w:t>
      </w: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为采用英文教材并且英语授课课时达到该课程学时100%的课程，</w:t>
      </w:r>
      <w:r>
        <w:rPr>
          <w:rFonts w:hint="eastAsia" w:ascii="Times New Roman" w:hAnsi="Times New Roman" w:cs="Times New Roman"/>
          <w:bCs/>
          <w:color w:val="C00000"/>
          <w:kern w:val="0"/>
          <w:sz w:val="21"/>
          <w:szCs w:val="21"/>
          <w:lang w:val="en-US" w:eastAsia="zh-CN" w:bidi="ar"/>
        </w:rPr>
        <w:t>双语课</w:t>
      </w: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是指采用英文教材并且英语授课课时达到该课程学时50％以上(含50％)的课程，外语类课程选择外语课。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C00000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C00000"/>
          <w:kern w:val="0"/>
          <w:sz w:val="21"/>
          <w:szCs w:val="21"/>
          <w:lang w:val="en-US" w:eastAsia="zh-CN" w:bidi="ar"/>
        </w:rPr>
        <w:t>课程类型和课程归属与学院开课信息表一致。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课程简介字数为 300-500 字；其他部分以表述清楚教学安排为宜，字数不限。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课程目标可以选用以下进行表述：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层次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推荐动词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创造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开发、建立、制定、解决、设计、规划等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评价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评价、检查、判断、批判、鉴赏、协调等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分析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分析、辨别、解构、重构、整合、选择等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应用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应用、执行、实施、开展、推动、操作等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掌握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掌握、比较、推论、解释、论证、预测等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4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记忆</w:t>
            </w:r>
          </w:p>
        </w:tc>
        <w:tc>
          <w:tcPr>
            <w:tcW w:w="4253" w:type="dxa"/>
          </w:tcPr>
          <w:p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000000"/>
                <w:kern w:val="0"/>
                <w:sz w:val="21"/>
                <w:szCs w:val="21"/>
                <w:lang w:bidi="ar"/>
              </w:rPr>
              <w:t>了解、认识、界定、复述、重复、描述等</w:t>
            </w:r>
          </w:p>
        </w:tc>
      </w:tr>
    </w:tbl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每个</w:t>
      </w:r>
      <w:r>
        <w:rPr>
          <w:rFonts w:hint="eastAsia" w:ascii="Times New Roman" w:hAnsi="Times New Roman" w:cs="Times New Roman"/>
          <w:bCs/>
          <w:color w:val="C00000"/>
          <w:kern w:val="0"/>
          <w:sz w:val="21"/>
          <w:szCs w:val="21"/>
          <w:lang w:val="en-US" w:eastAsia="zh-CN" w:bidi="ar"/>
        </w:rPr>
        <w:t>知识点的参考学时一般不超过2学时</w:t>
      </w: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每门课程</w:t>
      </w:r>
      <w:r>
        <w:rPr>
          <w:rFonts w:hint="eastAsia" w:ascii="Times New Roman" w:hAnsi="Times New Roman" w:cs="Times New Roman"/>
          <w:bCs/>
          <w:color w:val="C00000"/>
          <w:kern w:val="0"/>
          <w:sz w:val="21"/>
          <w:szCs w:val="21"/>
          <w:lang w:val="en-US" w:eastAsia="zh-CN" w:bidi="ar"/>
        </w:rPr>
        <w:t>模块在10个左右，不少于8个，不多于14个；知识点在50个左右</w:t>
      </w: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知识点的能力目标</w:t>
      </w: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val="en-US" w:eastAsia="zh-CN" w:bidi="ar"/>
        </w:rPr>
        <w:t>可以采</w:t>
      </w:r>
      <w:r>
        <w:rPr>
          <w:rFonts w:hint="eastAsia" w:asciiTheme="minorEastAsia" w:hAnsiTheme="minorEastAsia" w:eastAsiaTheme="minorEastAsia" w:cstheme="minorEastAsia"/>
          <w:bCs/>
          <w:color w:val="000000"/>
          <w:kern w:val="0"/>
          <w:sz w:val="21"/>
          <w:szCs w:val="21"/>
          <w:lang w:val="en-US" w:eastAsia="zh-CN" w:bidi="ar"/>
        </w:rPr>
        <w:t>用如</w:t>
      </w:r>
      <w:r>
        <w:rPr>
          <w:rFonts w:hint="eastAsia" w:asciiTheme="minorEastAsia" w:hAnsiTheme="minorEastAsia" w:eastAsiaTheme="minorEastAsia" w:cstheme="minorEastAsia"/>
          <w:bCs/>
          <w:color w:val="000000"/>
          <w:kern w:val="0"/>
          <w:sz w:val="21"/>
          <w:szCs w:val="21"/>
          <w:lang w:bidi="ar"/>
        </w:rPr>
        <w:t>“了解......”、“理解......”、</w:t>
      </w:r>
      <w:r>
        <w:rPr>
          <w:rFonts w:hint="eastAsia" w:asciiTheme="minorEastAsia" w:hAnsiTheme="minorEastAsia" w:eastAsiaTheme="minorEastAsia" w:cstheme="minorEastAsia"/>
          <w:bCs/>
          <w:color w:val="000000"/>
          <w:kern w:val="0"/>
          <w:sz w:val="21"/>
          <w:szCs w:val="21"/>
          <w:lang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bCs/>
          <w:color w:val="000000"/>
          <w:kern w:val="0"/>
          <w:sz w:val="21"/>
          <w:szCs w:val="21"/>
          <w:lang w:bidi="ar"/>
        </w:rPr>
        <w:t>掌握.......”、“能够.......”、“达到........”等</w:t>
      </w: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语句表述，</w:t>
      </w:r>
      <w:r>
        <w:rPr>
          <w:rFonts w:hint="default" w:ascii="Times New Roman" w:hAnsi="Times New Roman" w:cs="Times New Roman"/>
          <w:bCs/>
          <w:color w:val="000000"/>
          <w:kern w:val="0"/>
          <w:sz w:val="21"/>
          <w:szCs w:val="21"/>
          <w:lang w:val="en-US" w:eastAsia="zh-CN" w:bidi="ar"/>
        </w:rPr>
        <w:t>也可以参考课程目标中推荐使用的动词。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教学方式可以包括但不限于课堂教学、自学、课堂讨论、视频演示、实验操作、社会实践、个人作业（论文、案例分析等）、个人展示、小组作业、小组展示、在线答疑辅导等等，老师可根据课程实际情况选择适当的教学方式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bidi="ar"/>
        </w:rPr>
        <w:t>实验项目“类型”填演示类、验证类、综合类、设计研究类等等。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bCs/>
          <w:color w:val="000000"/>
          <w:kern w:val="0"/>
          <w:sz w:val="21"/>
          <w:szCs w:val="21"/>
          <w:lang w:val="en-US" w:eastAsia="zh-CN" w:bidi="ar"/>
        </w:rPr>
        <w:t>考核方式应当包括过程性考核和终结性考核，</w:t>
      </w:r>
      <w:r>
        <w:rPr>
          <w:rFonts w:hint="default" w:ascii="Times New Roman" w:hAnsi="Times New Roman" w:cs="Times New Roman" w:eastAsiaTheme="minorEastAsia"/>
          <w:sz w:val="21"/>
          <w:szCs w:val="21"/>
        </w:rPr>
        <w:t>形式</w:t>
      </w:r>
      <w:r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  <w:t>可以包括但不限于</w:t>
      </w:r>
      <w:r>
        <w:rPr>
          <w:rFonts w:hint="default" w:ascii="Times New Roman" w:hAnsi="Times New Roman" w:cs="Times New Roman" w:eastAsiaTheme="minorEastAsia"/>
          <w:sz w:val="21"/>
          <w:szCs w:val="21"/>
        </w:rPr>
        <w:t>课堂表现、平时作业、阶段</w:t>
      </w:r>
      <w:r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  <w:t>测验</w:t>
      </w:r>
      <w:r>
        <w:rPr>
          <w:rFonts w:hint="default" w:ascii="Times New Roman" w:hAnsi="Times New Roman" w:cs="Times New Roman" w:eastAsiaTheme="minorEastAsia"/>
          <w:sz w:val="21"/>
          <w:szCs w:val="21"/>
        </w:rPr>
        <w:t>、期中考试、期末考试、论文</w:t>
      </w:r>
      <w:r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  <w:t>等</w:t>
      </w:r>
      <w:r>
        <w:rPr>
          <w:rFonts w:hint="default" w:ascii="Times New Roman" w:hAnsi="Times New Roman" w:cs="Times New Roman" w:eastAsiaTheme="minorEastAsia"/>
          <w:sz w:val="21"/>
          <w:szCs w:val="21"/>
        </w:rPr>
        <w:t>等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jc w:val="left"/>
        <w:textAlignment w:val="auto"/>
        <w:rPr>
          <w:rFonts w:hint="default" w:ascii="Times New Roman" w:hAnsi="Times New Roman" w:cs="Times New Roman" w:eastAsiaTheme="minorEastAsia"/>
          <w:bCs/>
          <w:color w:val="FF0000"/>
          <w:kern w:val="0"/>
          <w:sz w:val="21"/>
          <w:szCs w:val="21"/>
          <w:lang w:bidi="ar"/>
        </w:rPr>
      </w:pPr>
      <w:r>
        <w:rPr>
          <w:rFonts w:hint="eastAsia" w:ascii="Times New Roman" w:hAnsi="Times New Roman" w:cs="Times New Roman"/>
          <w:bCs/>
          <w:color w:val="FF0000"/>
          <w:kern w:val="0"/>
          <w:sz w:val="21"/>
          <w:szCs w:val="21"/>
          <w:lang w:val="en-US" w:eastAsia="zh-CN" w:bidi="ar"/>
        </w:rPr>
        <w:t>课程设计的几个图例：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753100" cy="4182745"/>
            <wp:effectExtent l="0" t="0" r="0" b="8255"/>
            <wp:docPr id="2" name="图片 2" descr="171169168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1691680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2465" cy="4573905"/>
            <wp:effectExtent l="0" t="0" r="63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</w:pPr>
      <w:r>
        <w:drawing>
          <wp:inline distT="0" distB="0" distL="114300" distR="114300">
            <wp:extent cx="5756910" cy="35769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</w:pP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/>
          <w:lang w:eastAsia="zh-CN"/>
        </w:rPr>
      </w:pPr>
    </w:p>
    <w:sectPr>
      <w:pgSz w:w="11906" w:h="16838"/>
      <w:pgMar w:top="1134" w:right="1417" w:bottom="1134" w:left="1417" w:header="851" w:footer="992" w:gutter="0"/>
      <w:pgNumType w:start="1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337C7"/>
    <w:multiLevelType w:val="singleLevel"/>
    <w:tmpl w:val="847337C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97D9EDF"/>
    <w:multiLevelType w:val="multilevel"/>
    <w:tmpl w:val="B97D9EDF"/>
    <w:lvl w:ilvl="0" w:tentative="0">
      <w:start w:val="1"/>
      <w:numFmt w:val="chineseCountingThousand"/>
      <w:suff w:val="nothing"/>
      <w:lvlText w:val="%1、"/>
      <w:lvlJc w:val="left"/>
      <w:pPr>
        <w:ind w:left="227" w:hanging="22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1A126669"/>
    <w:multiLevelType w:val="multilevel"/>
    <w:tmpl w:val="1A12666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xYWRmNmIyZWYwMjAyZjk4MWEwY2E1YjA4OWJhMGEifQ=="/>
    <w:docVar w:name="KSO_WPS_MARK_KEY" w:val="78886aa0-d22e-4d5a-81f4-aa9731508a92"/>
  </w:docVars>
  <w:rsids>
    <w:rsidRoot w:val="57A0337A"/>
    <w:rsid w:val="00034088"/>
    <w:rsid w:val="000B4CD3"/>
    <w:rsid w:val="00165A3F"/>
    <w:rsid w:val="0034417C"/>
    <w:rsid w:val="0091068A"/>
    <w:rsid w:val="00CF61A2"/>
    <w:rsid w:val="00ED36E5"/>
    <w:rsid w:val="00F97A43"/>
    <w:rsid w:val="0521323E"/>
    <w:rsid w:val="09F81481"/>
    <w:rsid w:val="0EE17458"/>
    <w:rsid w:val="19302788"/>
    <w:rsid w:val="20636DDA"/>
    <w:rsid w:val="27CB59DC"/>
    <w:rsid w:val="2E43646A"/>
    <w:rsid w:val="354715C1"/>
    <w:rsid w:val="4D13263B"/>
    <w:rsid w:val="57A0337A"/>
    <w:rsid w:val="65AE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61"/>
    <w:basedOn w:val="8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91"/>
    <w:basedOn w:val="8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single"/>
    </w:rPr>
  </w:style>
  <w:style w:type="character" w:customStyle="1" w:styleId="11">
    <w:name w:val="font4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12">
    <w:name w:val="font5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4">
    <w:name w:val="List Paragraph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5">
    <w:name w:val="批注框文本 字符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#正文"/>
    <w:basedOn w:val="1"/>
    <w:autoRedefine/>
    <w:qFormat/>
    <w:uiPriority w:val="0"/>
    <w:pPr>
      <w:spacing w:line="312" w:lineRule="auto"/>
      <w:ind w:firstLine="20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B772B-F35E-42D2-ABE5-EA02557F35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1182</Words>
  <Characters>1404</Characters>
  <Lines>11</Lines>
  <Paragraphs>3</Paragraphs>
  <TotalTime>15</TotalTime>
  <ScaleCrop>false</ScaleCrop>
  <LinksUpToDate>false</LinksUpToDate>
  <CharactersWithSpaces>1432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2023-03-23T01:06:00Z</dcterms:created>
  <dc:creator>WPS_585925486</dc:creator>
  <cp:lastModifiedBy>LAN</cp:lastModifiedBy>
  <cp:lastPrinted>2024-03-25T05:21:00Z</cp:lastPrinted>
  <dcterms:modified xsi:type="dcterms:W3CDTF">2024-03-29T06:08:45Z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7813E6131E1C435B832EE74DB5ECA302</vt:lpwstr>
  </property>
</Properties>
</file>